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220</w:t>
      </w:r>
    </w:p>
    <w:p>
      <w:r>
        <w:t>Bundesgericht (BGE), 2008-04-30, DE</w:t>
      </w:r>
    </w:p>
    <w:p>
      <w:r>
        <w:rPr>
          <w:b/>
        </w:rPr>
        <w:t xml:space="preserve">Quelle: </w:t>
      </w:r>
      <w:r>
        <w:t>https://mcp.opencaselaw.ch/entscheid/bge_136 I 220</w:t>
      </w:r>
    </w:p>
    <w:p>
      <w:r>
        <w:t>FR: ATF 136 I 220</w:t>
      </w:r>
    </w:p>
    <w:p>
      <w:r>
        <w:t>IT: DTF 136 I 220</w:t>
      </w:r>
    </w:p>
    <w:p>
      <w:pPr>
        <w:pStyle w:val="Heading2"/>
      </w:pPr>
      <w:r>
        <w:t>Regeste</w:t>
      </w:r>
    </w:p>
    <w:p>
      <w:r>
        <w:t>Regeste Art. 49 BV; Art. 64a und 65 KVG; Art. 31 Abs. 1 und 2 des Einführungsgesetzes des Kantons Glarus vom 7. Mai 2006 zum Bundesgesetz über die Krankenversicherung (in der seit 1. Januar 2008 geltenden Fassung); Prämienverbilligung. Eine kantonale Regelung, gemäss welcher Prämienverbilligungsbeiträge mit Steuerschulden verrechnet werden können, ist mit der Zielsetzung des KVG nicht vereinbar und daher bundesrechtswidrig (E. 6.4.3).</w:t>
      </w:r>
    </w:p>
    <w:p>
      <w:pPr>
        <w:pStyle w:val="Heading2"/>
      </w:pPr>
      <w:r>
        <w:t>Erwägungen</w:t>
      </w:r>
    </w:p>
    <w:p>
      <w:r>
        <w:rPr>
          <w:b/>
        </w:rPr>
        <w:t>E. 4</w:t>
      </w:r>
    </w:p>
    <w:p>
      <w:r>
        <w:t>In materieller Hinsicht streitig und zu prüfen ist, ob Art. 31 Abs. 1 und 2 EG KVG, welcher eine Verrechnung von Prämienverbilligungsbeiträgen mit Steuerschulden vorsieht, bundesrechtskonform ist.</w:t>
      </w:r>
    </w:p>
    <w:p>
      <w:r>
        <w:rPr>
          <w:b/>
        </w:rPr>
        <w:t>E. 4.1</w:t>
      </w:r>
    </w:p>
    <w:p>
      <w:r>
        <w:t>Gemäss Art. 65 KVG (in der seit 1. Januar 2001 in Kraft stehenden Fassung) gewähren die Kantone den Versicherten in bescheidenen wirtschaftlichen Verhältnissen Prämienverbilligungen (Abs. 1). Die Kantone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Mit den Schlussbestimmungen der Änderung vom 24. März 2000 werden die Kantone verpflichtet, Ausführungsbestimmungen zu erlassen.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 BGE 134 I 313 E. 3 S. 315 mit Hinweisen).</w:t>
      </w:r>
    </w:p>
    <w:p>
      <w:r>
        <w:rPr>
          <w:b/>
        </w:rPr>
        <w:t>E. 4.2</w:t>
      </w:r>
    </w:p>
    <w:p>
      <w:r>
        <w:t>Laut Art. 27 Abs. 1 EG KVG wird der Anspruch auf Prämienverbilligung grundsätzlich von Amtes wegen ermittelt und ausgerichtet. Nach Art. 31 Abs. 1 EG KVG (in der seit 1. Januar 2008 in Kraft stehenden Fassung) kann die anspruchsberechtigte Person die Auszahlung der vollen Prämienverbilligung an sich verlangen, wenn sie nachweist, dass sie der Zahlung der Prämien bis zum Zeitpunkt des Antrages auf Auszahlung der Prämienverbilligung lückenlos BGE 136 I 220 S. 223 nachgekommen ist. Ein entsprechendes Gesuch ist mit den nötigen Belegen bei der zuständigen kantonalen Verwaltungsbehörde einzureichen. Im Regelungsbereich von Art. 21 (Personen, die wirtschaftliche Hilfe beziehen) und Art. 25 (Asylsuchende) erfolgt keine Auszahlung an die anspruchsberechtigten Personen. Der Regierungsrat regelt die Einzelheiten, namentlich bis zu welchem Zeitpunkt die Auszahlung der vollen Prämienverbilligung verlangt werden kann. Nach Art. 31 Abs. 2 EG KVG wird die Prämienverbilligung mit den geschuldeten Kantons- und Gemeindesteuern verrechnet, wenn die Auszahlung der vollen Prämienverbilligung nicht verlangt wird oder die Voraussetzungen dafür gemäss Absatz 1 nicht erfüllt sind. Gemäss Art. 4 lit. d EG KVG in Verbindung mit Art. 3 Abs. 1 der kantonalen Verordnung vom 17. September 2002 über die Prämienverbilligung (GS VIII D/21/2; nachfolgend: RIPV) ist die kantonale Steuerverwaltung mit dem Vollzug der Prämienverbilligung betraut. Sie ist insbesondere zuständig für die Verrechnung der Prämienbeiträge mit den Kantons- und Gemeindesteuern bzw. die Auszahlung der Prämienbeiträge an die Berechtigten in besonderen Fällen (Art. 3 Abs. 2 lit. e RIPV).</w:t>
      </w:r>
    </w:p>
    <w:p>
      <w:r>
        <w:rPr>
          <w:b/>
        </w:rPr>
        <w:t>E. 5.1</w:t>
      </w:r>
    </w:p>
    <w:p>
      <w:r>
        <w:t>Das Verwaltungsgericht ging davon aus, dass aufgrund von Art. 3 Abs. 2 lit. e RIPV die Verrechnung der Verbilligungsbeiträge mit Kantons- und Gemeindesteuern die Regel bilde und die Auszahlung an die Berechtigten bloss in "besonderen Fällen" erfolge. Dabei stelle die Voraussetzung gemäss Art. 31 Abs. 1 EG KVG, dass die Auszahlung an die versicherte Person von einer lückenlosen Prämienzahlung bis zum Zeitpunkt des Gesuchs abhänge, eine Bedingung dar, die mit dem vom Bundesgesetzgeber verfolgten Ziel der Prämienverbilligung kaum vereinbar sei. Zudem entspreche es nicht Sinn und Geist von Art. 65 KVG , Steuerausstände oder den diesbezüglichen Inkassoaufwand zu reduzieren und die von Bund und Kanton bereitgestellten Mittel nicht direkt zur Prämienzahlung dem Versicherten oder zur Prämienreduktion dem Versicherer zuzuführen. Mit der Verrechnung mit Steuerforderungen könne überdies auch keine zweckmässige Verwendung der Beiträge sichergestellt werden.</w:t>
      </w:r>
    </w:p>
    <w:p>
      <w:r>
        <w:rPr>
          <w:b/>
        </w:rPr>
        <w:t>E. 5.2</w:t>
      </w:r>
    </w:p>
    <w:p>
      <w:r>
        <w:t>Der Beschwerde führende Kanton Glarus macht im Wesentlichen geltend, die Umsetzung des Bundesrechts obliege nach Art. 46 BV den Kantonen. Der Bund habe im KVG nicht vorgeschrieben, welche Auszahlungssysteme im Rahmen der Prämienverbilligung BGE 136 I 220 S. 224 möglich seien. Laut Botschaft vom 21. September 1998 betreffend den Bundesbeschluss über die Bundesbeiträge in der Krankenversicherung (BBl 1999 793 ff. Ziff. 242) sei es Sache eines jeden Kantons, den Kreis der Begünstigten, die Höhe, das Verfahren und den Auszahlungsmodus der Prämienverbilligung festzulegen. Der Kanton Glarus habe ein gemischtes System gewählt, indem die Prämienberechtigung von Amtes wegen mitgeteilt werde, die Auszahlung direkt an die Berechtigten jedoch beantragt werden müsse, wobei bei fehlendem Antrag eine Verrechnung mit geschuldeten Kantonssteuern erfolge. Weder verstosse dieses System gegen Art. 65 KVG , noch bestehe eine Verpflichtung zur Barauszahlung an die Versicherten.</w:t>
      </w:r>
    </w:p>
    <w:p>
      <w:r>
        <w:rPr>
          <w:b/>
        </w:rPr>
        <w:t>E. 6.1</w:t>
      </w:r>
    </w:p>
    <w:p>
      <w:r>
        <w:t>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(ZBl 109/2008 S. 311, 2P.229/2006 E. 3). Die kantonalen Bestimmungen über die Prämienverbilligung müssen sich somit an Sinn und Geist des KVG halten und dürfen den mit der Prämienverbilligung angestrebten Zweck nicht vereiteln ( BGE 122 I 343 E. 4a S. 349; GEBHARD EUGSTER, Krankenversicherung, in: Soziale Sicherheit, SBVR Bd. XIV, 2007, S. 764 Rz. 1071; URS CH. NEF, Die Prämienverbilligung in der Krankenversicherung, in: LAMal - KVG, Recueil de travaux en l'honneur de la société suisse de droit des assurances, 1997, S. 489).</w:t>
      </w:r>
    </w:p>
    <w:p>
      <w:r>
        <w:rPr>
          <w:b/>
        </w:rPr>
        <w:t>E. 6.2.1</w:t>
      </w:r>
    </w:p>
    <w:p>
      <w:r>
        <w:t>Die individuelle Prämienverbilligung zielt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122 I 343 E. 3g/bb S. 347). Dabei entschied sich der Bundesgesetzgeber für eine föderalistische Ausgestaltung, indem er die Festlegung des zu erreichenden Sozialziels und die Ausgestaltung der Prämienverbilligung (Festlegung des Bezügerkreises, des Betrags, des Verfahrens und der Zahlungsmodalitäten) an die Kantone delegierte. BGE 136 I 220 S. 225</w:t>
      </w:r>
    </w:p>
    <w:p>
      <w:r>
        <w:rPr>
          <w:b/>
        </w:rPr>
        <w:t>E. 6.2.2</w:t>
      </w:r>
    </w:p>
    <w:p>
      <w:r>
        <w:t>Wie der Beschwerdeführer zutreffend festhält, hat der Gesetzgeber den Kantonen im KVG die Auszahlungsmodalitäten der Prämienverbilligung nicht vorgeschrieben. In der Botschaft vom 6. November 1991 über die Revision der Krankenversicherung (BBl 1992 I 93 ff.) wird zur Prämienverbilligung durch die Kantone ausgeführt, wie das Modell in die Praxis umzusetzen sei, werde den Kantonen überlassen. In der Studie der Schweizerischen Vereinigung privater Kranken- und Unfallversicherer (PKU) sei ursprünglich vorgeschlagen worden, dass der Anspruch der Versicherten direkt von der Steuerschuld in Abzug gebracht werde. Die kantonalen Finanzdirektoren hätten seinerzeit gegen ein solches Vorgehen Bedenken geäussert. Die Kantone könnten ein von der Erhebung der Steuern losgelöstes System wählen. Es sei ihnen freigestellt, ob sie die Prämienverbilligung den Versicherten oder direkt den Versicherern ausbezahlen wollten (BBl 1992 I 198 Ziff. 3). In der bereits erwähnten Botschaft vom 21. September 1998 (BBl 1999 793 ff. Ziff. 242 f.) wurde festgehalten, es sei Sache eines jeden Kantons, den Kreis der Begünstigten, die Höhe, das Verfahren wie auch den Auszahlungsmodus für die Prämienverbilligung festzulegen. In der Regel erfolge die Auszahlung an den Versicherer, wobei die Berechtigten informiert würden. In Ausnahmefällen werde die Verbilligung den Berechtigten selbst entrichtet. Ein solches Verfahren werde jedoch von der überwiegenden Mehrzahl der Kantone mit dem Hinweis abgelehnt, die Gelder müssten zweckgebunden sein. In der Botschaft vom 26. Mai 2004 zur Änderung des Bundesgesetzes über die Krankenversicherung (Prämienverbilligung) und zum Bundesbeschluss über die Bundesbeiträge in der Krankenversicherung (BBl 2004 4327 ff.) wird bestätigt, dass bezüglich der Zahlungsmodalitäten zwei Tendenzen hätten beobachtet werden können, wobei die Mehrzahl der Kantone die Subventionen direkt an die Versicherer ausrichte, während einige wenige Kantone den Prämienverbilligungsbetrag den Versicherten bezahlen würden (BBl 2004 4337 Ziff. 1.1.5).</w:t>
      </w:r>
    </w:p>
    <w:p>
      <w:r>
        <w:rPr>
          <w:b/>
        </w:rPr>
        <w:t>E. 6.2.3</w:t>
      </w:r>
    </w:p>
    <w:p>
      <w:r>
        <w:t>Aufgrund der Ausführungen in den bundesrätlichen Botschaften schloss das Verwaltungsgericht, das vom Kanton Glarus gewählte System der Gutschrift zur Verrechnung mit Steuerforderungen sei nicht in Erwägung gezogen worden. Wie das BAG in seiner Vernehmlassung zutreffend festhält, bestehen gestützt auf die Gesetzesmaterialien darüber hinaus auch keine Hinweise darauf, dass das vom Kanton Glarus gewählte System der Gutschrift zur Verrechnung mit Steuerforderungen als bundesrechtswidrig zu betrachten wäre. BGE 136 I 220 S. 226</w:t>
      </w:r>
    </w:p>
    <w:p>
      <w:r>
        <w:rPr>
          <w:b/>
        </w:rPr>
        <w:t>E. 6.3.1</w:t>
      </w:r>
    </w:p>
    <w:p>
      <w:r>
        <w:t>Das Verwaltungsgericht geht davon aus, dass vor allem jene Versicherten, die aus finanziellen Gründen (in der Vergangenheit) die Prämien nicht bzw. nicht rechtzeitig bezahlen konnten, in den Genuss der Prämienverbilligung kommen würden. Dabei gehe es nicht an, die Verbilligungsbeiträge nur indirekt dem gesetzlichen Zweck der Prämienverbilligung zukommen zu lassen. Wenn dies zulässig sei, würden finanzielle Mittel für andere Zwecke der Anspruchsberechtigten verfügbar gemacht, deren anderweitige Verwendung nicht als missbräuchlich betrachtet werden könne.</w:t>
      </w:r>
    </w:p>
    <w:p>
      <w:r>
        <w:rPr>
          <w:b/>
        </w:rPr>
        <w:t>E. 6.3.2</w:t>
      </w:r>
    </w:p>
    <w:p>
      <w:r>
        <w:t>Der Beschwerdeführer wendet ein, zumindest in den Fällen, in welchen die Versicherten weder Krankenkassenprämien noch Steuern zahlen würden, obwohl sie weder Steuererlass genössen noch Sozialhilfeempfänger seien, könne der Aufwand des Staates bei Vorliegen von Verlustscheinen reduziert werden. Damit werde verhindert, dass Beiträge für die Krankenkassenprämien zuerst über die Prämienverbilligung und anschliessend auch noch im Rahmen eines Verlustscheins aufgewendet werden müssten, was eine sinnvolle und zweckgebundene Vollzugslösung darstelle.</w:t>
      </w:r>
    </w:p>
    <w:p>
      <w:r>
        <w:rPr>
          <w:b/>
        </w:rPr>
        <w:t>E. 6.3.3</w:t>
      </w:r>
    </w:p>
    <w:p>
      <w:r>
        <w:t>Steuern sind grundsätzlich so lange geschuldet, als sie nicht erlassen werden. Ob die Erlassvoraussetzungen gegeben sind, wird in einem selbständigen Verfahren geprüft. Sind Steuerschulden zu begleichen und erfolgt die Tilgung durch Verrechnung, bleibt per Saldo das Vermögen der versicherten Person gleich, wie wenn ihr die Prämienverbilligung ausbezahlt würde. Der Unterschied besteht einzig darin, dass bei der Verrechnung die Passiven reduziert werden, während sich im Fall der Auszahlung die Aktiven erhöhen. Dies bestätigt auch der Beschwerde führende Kanton, wenn er festhält, die Prämien würden insofern ermässigt, indem den Berechtigten andere zwingende Kosten, nämlich die fälligen und zu begleichenden Steuern, abgenommen würden. Ein solches Vorgehen widerspricht grundsätzlich nicht dem Gesetzeszweck. Wie bereits oben anhand der Gesetzesmaterialien dargelegt (vgl. E. 6.2.2), lässt es das Bundesrecht zu, dass die Verbilligung bar an die Versicherten ausbezahlt wird. Damit akzeptiert der Bundesgesetzgeber, dass diese Beträge nicht für die Prämienzahlung, sondern allenfalls für anderweitige Auslagen verwendet werden. Wäre es ihm darum gegangen, nur die direkte Verwendung für die Prämienzahlung zu sichern, hätte er im KVG vorschreiben müssen, dass nur eine Auszahlung an den Versicherer zulässig sei. In diese Richtung zielt denn auch eine BGE 136 I 220 S. 227 parlamentarische Initiative, welche mit einer Revision von Art. 65 KVG die Kantone verpflichten will, die Prämienverbilligung direkt an die Versicherer auszurichten, um künftig zu verhindern, dass diejenigen Versicherten, denen die Prämienverbilligung direkt ausgerichtet wird, die Gelder für andere Zwecke einsetzen (vgl. Bericht vom 28. August 2009 der Kommission für soziale Sicherheit und Gesundheit des Nationalrates "Parlamentarische Initiative Artikel 64a KVG und unbezahlte Prämien" [09.425]). Dass bei einer Barauszahlung an die Versicherten die Verbilligungen zum Teil anderweitig verwendet werden, ist unbestritten. Der Unterschied zu einer Gutschrift mit Verrechnung der Steuerschulden besteht einzig darin, dass im einen Fall die Tilgung einer zum vornherein bestimmten Schuld erfolgt, während im andern Fall die versicherte Person selber entscheidet, welche Schulden sie tilgen will. Wenn mittels Verrechnung der Prämienverbilligung mit geschuldeten Kantons- und Gemeindesteuern der Missbrauchsgefahr nicht entgegengewirkt wird, kann - solange kein bestimmter Auszahlungsmodus bundesrechtlich vorgeschrieben ist - daraus allein nicht geschlossen werden, das vom Kanton Glarus gewählte System sei bundesrechtswidrig.</w:t>
      </w:r>
    </w:p>
    <w:p>
      <w:r>
        <w:rPr>
          <w:b/>
        </w:rPr>
        <w:t>E. 6.4.1</w:t>
      </w:r>
    </w:p>
    <w:p>
      <w:r>
        <w:t>Mit der Vorinstanz gilt es sodann auf den zwischen der Prämienverbilligung und der Prämienzahlungspflicht bestehenden engen Zusammenhang hinzuweisen, welcher in Art. 65 Abs. 3 Satz 2 KVG zum Ausdruck kommt, wonach die Auszahlung der Prämienverbilligung so zu erfolgen hat, dass die anspruchsberechtigten Personen ihrer Prämienzahlungspflicht nicht vorschussweise nachkommen müssen. Mit dem am 1. Januar 2006 in Kraft getretenen Art. 64a Abs. 2 KVG wurde zudem eine gesetzliche Grundlage für die Prämienzahlungspflicht geschaffen, und es wurden zugleich die Folgen des Verzugs verschärft (vgl. dazu Botschaft vom 26. Mai 2004, a.a.O., BBl 2004 4327 ff. Ziff. 3). Bezahlt die versicherte Person trotz Mahnung nicht und wurde im Betreibungsverfahren ein Fortsetzungsbegehren bereits gestellt, so schiebt der Versicherer nach dieser Bestimmung die Übernahme der Kosten für die Leistungen auf, bis die ausstehenden Prämien, Kostenbeteiligungen, Verzugszinse und Betreibungskosten vollständig bezahlt sind. Gleichzeitig benachrichtigt der Versicherer die für die Einhaltung der Versicherungspflicht zuständige kantonale Stelle über den Leistungsaufschub. Vorbehalten bleiben kantonale Vorschriften über eine Meldung an andere Stellen. Eine Person, die ihre Prämien nicht bezahlt, läuft Gefahr, dass BGE 136 I 220 S. 228 ihr Versicherer die Übernahme der Kosten für ihre Leistungen aufschiebt, was sich auf die betroffenen Versicherten negativ auswirken kann, da für sie unter Umständen keine adäquate Gesundheitsversorgung mehr gewährleistet ist (vgl. den bereits erwähnten Bericht vom 28. August 2009 der Kommission für soziale Sicherheit und Gesundheit des Nationalrates "Parlamentarische Initiative Artikel 64a KVG und unbezahlte Prämien").</w:t>
      </w:r>
    </w:p>
    <w:p>
      <w:r>
        <w:rPr>
          <w:b/>
        </w:rPr>
        <w:t>E. 6.4.2</w:t>
      </w:r>
    </w:p>
    <w:p>
      <w:r>
        <w:t>Der Beschwerde führende Kanton bestreitet nicht, dass beim System einer Verrechnung von Steuerschulden die Bestimmung von Art. 65 Abs. 3 Satz 2 KVG nicht eingehalten wird. Auch bleibt das Risiko eines Leistungsaufschubs, das mit der Prämienverbilligung verhindert werden soll, bestehen. In seiner Eingabe ans Bundesgericht bringt der Beschwerdeführer lediglich vor, die Verrechnung mit den geschuldeten Steuern werde nicht vorgenommen, wenn die berechtigte Person gemäss Art. 31 Abs. 1 EG KVG Antrag auf Auszahlung der Prämienverbilligung stellen könne und die Verrechnung mit Steuern somit auf freiwilliger Basis geschehe, was aber voraussetzt, dass die Prämien der Vorjahre lückenlos bezahlt wurden. Auch wenn die anspruchsberechtigte Person grundsätzlich die Auszahlung der vollen Prämienverbilligung an sich verlangen kann, knüpft der kantonale Gesetzgeber diese an Bedingungen, die von Versicherten in bescheidenen wirtschaftlichen Verhältnissen im Sinne von Art. 65 Abs. 1 KVG nicht einfach zu erfüllen sind. Denn wer offene Steuerschulden hat, kann oftmals auch die Krankenkassenprämien nicht lückenlos bezahlen und somit die Auszahlungsvoraussetzungen gemäss Art. 31 Abs. 1 EG KVG nicht erfüllen. Vor Vorinstanz hielt der Kanton zu diesem Punkt fest, Art. 65 Abs. 3 KVG bestimme zwar, dass die Bevorschussung so zu erfolgen habe, dass die anspruchsberechtigte Person ihrer Prämienzahlungspflicht nicht vorschussweise nachkommen müsse. Dies sei jedoch illusorisch und werde wohl von keinem Kanton eingehalten. Dieses Argument hilft dem Beschwerdeführer jedoch insofern nicht weiter, als es vorliegend nicht darum geht, andere Systeme zu würdigen.</w:t>
      </w:r>
    </w:p>
    <w:p>
      <w:r>
        <w:rPr>
          <w:b/>
        </w:rPr>
        <w:t>E. 6.4.3</w:t>
      </w:r>
    </w:p>
    <w:p>
      <w:r>
        <w:t>Daraus ergibt sich, dass Art. 31 Abs. 1 und 2 EG KVG gegen die Zielsetzung des KVG und dabei namentlich gegen die Vorgabe von Art. 65 Ab. 3 Satz 2 KVG verstösst. Da die kantonalrechtlichen Bestimmungen mit der bundesgesetzlichen Regelung über die Prämienverbilligung nicht vereinbar sind, hat das kantonale Gericht sie zu Recht als bundesrechtswidrig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